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D" w:rsidRDefault="00A53DED" w:rsidP="00A53DED">
      <w:pPr>
        <w:spacing w:after="105"/>
        <w:rPr>
          <w:rFonts w:ascii="Arial" w:hAnsi="Arial" w:cs="Arial"/>
          <w:color w:val="333333"/>
          <w:sz w:val="52"/>
          <w:szCs w:val="52"/>
        </w:rPr>
      </w:pPr>
      <w:r w:rsidRPr="001835ED">
        <w:rPr>
          <w:rFonts w:ascii="Arial" w:hAnsi="Arial" w:cs="Arial"/>
          <w:color w:val="333333"/>
          <w:sz w:val="52"/>
          <w:szCs w:val="52"/>
        </w:rPr>
        <w:t xml:space="preserve">Publikationsliste </w:t>
      </w:r>
      <w:r w:rsidR="00C13CCD">
        <w:rPr>
          <w:rFonts w:ascii="Arial" w:hAnsi="Arial" w:cs="Arial"/>
          <w:color w:val="333333"/>
          <w:sz w:val="52"/>
          <w:szCs w:val="52"/>
        </w:rPr>
        <w:t xml:space="preserve">Dr. </w:t>
      </w:r>
      <w:r w:rsidRPr="001835ED">
        <w:rPr>
          <w:rFonts w:ascii="Arial" w:hAnsi="Arial" w:cs="Arial"/>
          <w:color w:val="333333"/>
          <w:sz w:val="52"/>
          <w:szCs w:val="52"/>
        </w:rPr>
        <w:t>Oliver Busch</w:t>
      </w:r>
      <w:r w:rsidR="00BB1826">
        <w:rPr>
          <w:rFonts w:ascii="Arial" w:hAnsi="Arial" w:cs="Arial"/>
          <w:color w:val="333333"/>
          <w:sz w:val="52"/>
          <w:szCs w:val="52"/>
        </w:rPr>
        <w:t>/</w:t>
      </w:r>
    </w:p>
    <w:p w:rsidR="00BB1826" w:rsidRPr="001835ED" w:rsidRDefault="00BB1826" w:rsidP="00A53DED">
      <w:pPr>
        <w:spacing w:after="105"/>
        <w:rPr>
          <w:rFonts w:ascii="Arial" w:hAnsi="Arial" w:cs="Arial"/>
          <w:color w:val="333333"/>
          <w:sz w:val="52"/>
          <w:szCs w:val="52"/>
        </w:rPr>
      </w:pPr>
      <w:proofErr w:type="spellStart"/>
      <w:r>
        <w:rPr>
          <w:rFonts w:ascii="Arial" w:hAnsi="Arial" w:cs="Arial"/>
          <w:color w:val="333333"/>
          <w:sz w:val="52"/>
          <w:szCs w:val="52"/>
        </w:rPr>
        <w:t>Publication</w:t>
      </w:r>
      <w:proofErr w:type="spellEnd"/>
      <w:r>
        <w:rPr>
          <w:rFonts w:ascii="Arial" w:hAnsi="Arial" w:cs="Arial"/>
          <w:color w:val="333333"/>
          <w:sz w:val="52"/>
          <w:szCs w:val="52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52"/>
          <w:szCs w:val="52"/>
        </w:rPr>
        <w:t>list</w:t>
      </w:r>
      <w:proofErr w:type="spellEnd"/>
      <w:proofErr w:type="gramEnd"/>
      <w:r>
        <w:rPr>
          <w:rFonts w:ascii="Arial" w:hAnsi="Arial" w:cs="Arial"/>
          <w:color w:val="333333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333333"/>
          <w:sz w:val="52"/>
          <w:szCs w:val="52"/>
        </w:rPr>
        <w:t>of</w:t>
      </w:r>
      <w:proofErr w:type="spellEnd"/>
      <w:r>
        <w:rPr>
          <w:rFonts w:ascii="Arial" w:hAnsi="Arial" w:cs="Arial"/>
          <w:color w:val="333333"/>
          <w:sz w:val="52"/>
          <w:szCs w:val="52"/>
        </w:rPr>
        <w:t xml:space="preserve"> Oliver Busch</w:t>
      </w:r>
    </w:p>
    <w:p w:rsidR="00A53DED" w:rsidRDefault="00781339" w:rsidP="00A53DED">
      <w:pPr>
        <w:spacing w:after="105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Stand: </w:t>
      </w:r>
      <w:r w:rsidR="001F2459">
        <w:rPr>
          <w:rFonts w:ascii="Helvetica" w:hAnsi="Helvetica" w:cs="Helvetica"/>
          <w:color w:val="333333"/>
          <w:sz w:val="17"/>
          <w:szCs w:val="17"/>
        </w:rPr>
        <w:t>September</w:t>
      </w:r>
      <w:bookmarkStart w:id="0" w:name="_GoBack"/>
      <w:bookmarkEnd w:id="0"/>
      <w:r w:rsidR="00BB1826">
        <w:rPr>
          <w:rFonts w:ascii="Helvetica" w:hAnsi="Helvetica" w:cs="Helvetica"/>
          <w:color w:val="333333"/>
          <w:sz w:val="17"/>
          <w:szCs w:val="17"/>
        </w:rPr>
        <w:t xml:space="preserve"> 201</w:t>
      </w:r>
      <w:r w:rsidR="000E72B0">
        <w:rPr>
          <w:rFonts w:ascii="Helvetica" w:hAnsi="Helvetica" w:cs="Helvetica"/>
          <w:color w:val="333333"/>
          <w:sz w:val="17"/>
          <w:szCs w:val="17"/>
        </w:rPr>
        <w:t>7</w:t>
      </w:r>
    </w:p>
    <w:p w:rsidR="00781339" w:rsidRDefault="00781339" w:rsidP="00A53DED">
      <w:pPr>
        <w:spacing w:after="105"/>
        <w:rPr>
          <w:rFonts w:ascii="Helvetica" w:hAnsi="Helvetica" w:cs="Helvetica"/>
          <w:color w:val="333333"/>
          <w:sz w:val="17"/>
          <w:szCs w:val="17"/>
        </w:rPr>
      </w:pPr>
    </w:p>
    <w:p w:rsidR="00992482" w:rsidRDefault="00992482" w:rsidP="003A1EAD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Peters, Fabian/Busch, Oliver (2017): BMF-</w:t>
      </w:r>
      <w:proofErr w:type="spellStart"/>
      <w:r>
        <w:rPr>
          <w:rFonts w:ascii="Arial" w:hAnsi="Arial" w:cs="Arial"/>
          <w:color w:val="333333"/>
          <w:lang w:val="en-US"/>
        </w:rPr>
        <w:t>Schreiben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zum</w:t>
      </w:r>
      <w:proofErr w:type="spellEnd"/>
      <w:r>
        <w:rPr>
          <w:rFonts w:ascii="Arial" w:hAnsi="Arial" w:cs="Arial"/>
          <w:color w:val="333333"/>
          <w:lang w:val="en-US"/>
        </w:rPr>
        <w:t xml:space="preserve"> Country-by-Country Re</w:t>
      </w:r>
      <w:r w:rsidR="00194073">
        <w:rPr>
          <w:rFonts w:ascii="Arial" w:hAnsi="Arial" w:cs="Arial"/>
          <w:color w:val="333333"/>
          <w:lang w:val="en-US"/>
        </w:rPr>
        <w:t xml:space="preserve">porting </w:t>
      </w:r>
      <w:proofErr w:type="spellStart"/>
      <w:r w:rsidR="00194073">
        <w:rPr>
          <w:rFonts w:ascii="Arial" w:hAnsi="Arial" w:cs="Arial"/>
          <w:color w:val="333333"/>
          <w:lang w:val="en-US"/>
        </w:rPr>
        <w:t>veröffentlicht</w:t>
      </w:r>
      <w:proofErr w:type="spellEnd"/>
      <w:r w:rsidR="00194073">
        <w:rPr>
          <w:rFonts w:ascii="Arial" w:hAnsi="Arial" w:cs="Arial"/>
          <w:color w:val="333333"/>
          <w:lang w:val="en-US"/>
        </w:rPr>
        <w:t>, DB, 1875</w:t>
      </w:r>
      <w:r w:rsidR="001F2459">
        <w:rPr>
          <w:rFonts w:ascii="Arial" w:hAnsi="Arial" w:cs="Arial"/>
          <w:color w:val="333333"/>
          <w:lang w:val="en-US"/>
        </w:rPr>
        <w:t>-1876</w:t>
      </w:r>
      <w:r w:rsidR="00194073">
        <w:rPr>
          <w:rFonts w:ascii="Arial" w:hAnsi="Arial" w:cs="Arial"/>
          <w:color w:val="333333"/>
          <w:lang w:val="en-US"/>
        </w:rPr>
        <w:t>.</w:t>
      </w:r>
    </w:p>
    <w:p w:rsidR="00194073" w:rsidRPr="00992482" w:rsidRDefault="00194073" w:rsidP="00194073">
      <w:pPr>
        <w:pStyle w:val="ListParagraph"/>
        <w:spacing w:after="240"/>
        <w:ind w:left="284"/>
        <w:rPr>
          <w:rFonts w:ascii="Arial" w:hAnsi="Arial" w:cs="Arial"/>
          <w:color w:val="333333"/>
          <w:lang w:val="en-US"/>
        </w:rPr>
      </w:pPr>
    </w:p>
    <w:p w:rsidR="003A1EAD" w:rsidRPr="00992482" w:rsidRDefault="003A1EAD" w:rsidP="003A1EAD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lang w:val="en-US"/>
        </w:rPr>
      </w:pPr>
      <w:proofErr w:type="spellStart"/>
      <w:r w:rsidRPr="00992482">
        <w:rPr>
          <w:rFonts w:ascii="Arial" w:hAnsi="Arial" w:cs="Arial"/>
          <w:color w:val="333333"/>
          <w:lang w:val="en-US"/>
        </w:rPr>
        <w:t>Heid</w:t>
      </w:r>
      <w:r w:rsidR="00992482">
        <w:rPr>
          <w:rFonts w:ascii="Arial" w:hAnsi="Arial" w:cs="Arial"/>
          <w:color w:val="333333"/>
          <w:lang w:val="en-US"/>
        </w:rPr>
        <w:t>e</w:t>
      </w:r>
      <w:r w:rsidRPr="00992482">
        <w:rPr>
          <w:rFonts w:ascii="Arial" w:hAnsi="Arial" w:cs="Arial"/>
          <w:color w:val="333333"/>
          <w:lang w:val="en-US"/>
        </w:rPr>
        <w:t>cke</w:t>
      </w:r>
      <w:proofErr w:type="spellEnd"/>
      <w:r w:rsidRPr="00992482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992482">
        <w:rPr>
          <w:rFonts w:ascii="Arial" w:hAnsi="Arial" w:cs="Arial"/>
          <w:color w:val="333333"/>
          <w:lang w:val="en-US"/>
        </w:rPr>
        <w:t>Björn</w:t>
      </w:r>
      <w:proofErr w:type="spellEnd"/>
      <w:r w:rsidRPr="00992482">
        <w:rPr>
          <w:rFonts w:ascii="Arial" w:hAnsi="Arial" w:cs="Arial"/>
          <w:color w:val="333333"/>
          <w:lang w:val="en-US"/>
        </w:rPr>
        <w:t xml:space="preserve">/Busch, </w:t>
      </w:r>
      <w:proofErr w:type="gramStart"/>
      <w:r w:rsidRPr="00992482">
        <w:rPr>
          <w:rFonts w:ascii="Arial" w:hAnsi="Arial" w:cs="Arial"/>
          <w:color w:val="333333"/>
          <w:lang w:val="en-US"/>
        </w:rPr>
        <w:t>Oliver</w:t>
      </w:r>
      <w:proofErr w:type="gramEnd"/>
      <w:r w:rsidRPr="00992482">
        <w:rPr>
          <w:rFonts w:ascii="Arial" w:hAnsi="Arial" w:cs="Arial"/>
          <w:color w:val="333333"/>
          <w:lang w:val="en-US"/>
        </w:rPr>
        <w:t>/</w:t>
      </w:r>
      <w:proofErr w:type="spellStart"/>
      <w:r w:rsidRPr="00992482">
        <w:rPr>
          <w:rFonts w:ascii="Arial" w:hAnsi="Arial" w:cs="Arial"/>
          <w:color w:val="333333"/>
          <w:lang w:val="en-US"/>
        </w:rPr>
        <w:t>Schenkelberg</w:t>
      </w:r>
      <w:proofErr w:type="spellEnd"/>
      <w:r w:rsidRPr="00992482">
        <w:rPr>
          <w:rFonts w:ascii="Arial" w:hAnsi="Arial" w:cs="Arial"/>
          <w:color w:val="333333"/>
          <w:lang w:val="en-US"/>
        </w:rPr>
        <w:t>, Heike (2017): Transfer Pricing of the Use of Trademarks and Company Names: Ministry of Finance Publishes Trade Name Decree</w:t>
      </w:r>
      <w:r w:rsidR="00992482">
        <w:rPr>
          <w:rFonts w:ascii="Arial" w:hAnsi="Arial" w:cs="Arial"/>
          <w:color w:val="333333"/>
          <w:lang w:val="en-US"/>
        </w:rPr>
        <w:t>, ITPJ, vol. 4.</w:t>
      </w:r>
    </w:p>
    <w:p w:rsidR="003A1EAD" w:rsidRPr="00992482" w:rsidRDefault="003A1EAD" w:rsidP="003A1EAD">
      <w:pPr>
        <w:pStyle w:val="ListParagraph"/>
        <w:spacing w:after="240"/>
        <w:ind w:left="284"/>
        <w:rPr>
          <w:rFonts w:ascii="Arial" w:hAnsi="Arial" w:cs="Arial"/>
          <w:color w:val="333333"/>
          <w:lang w:val="en-US"/>
        </w:rPr>
      </w:pPr>
    </w:p>
    <w:p w:rsidR="000E72B0" w:rsidRDefault="000E72B0" w:rsidP="00D82C54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 w:rsidRPr="00992482">
        <w:rPr>
          <w:rFonts w:ascii="Arial" w:hAnsi="Arial" w:cs="Arial"/>
          <w:color w:val="333333"/>
        </w:rPr>
        <w:t>Busch, Oliver/Weynandt, Michele/</w:t>
      </w:r>
      <w:proofErr w:type="spellStart"/>
      <w:r w:rsidRPr="00992482">
        <w:rPr>
          <w:rFonts w:ascii="Arial" w:hAnsi="Arial" w:cs="Arial"/>
          <w:color w:val="333333"/>
        </w:rPr>
        <w:t>Röckle</w:t>
      </w:r>
      <w:proofErr w:type="spellEnd"/>
      <w:r w:rsidRPr="00992482">
        <w:rPr>
          <w:rFonts w:ascii="Arial" w:hAnsi="Arial" w:cs="Arial"/>
          <w:color w:val="333333"/>
        </w:rPr>
        <w:t xml:space="preserve">, Silas (2017): Praxisrelevante Revisionsfragen zum Urteil des FG Münster </w:t>
      </w:r>
      <w:r w:rsidR="004E7104" w:rsidRPr="00992482">
        <w:rPr>
          <w:rFonts w:ascii="Arial" w:hAnsi="Arial" w:cs="Arial"/>
          <w:color w:val="333333"/>
        </w:rPr>
        <w:t>zur Fremdüblichkeit von</w:t>
      </w:r>
      <w:r w:rsidRPr="00992482">
        <w:rPr>
          <w:rFonts w:ascii="Arial" w:hAnsi="Arial" w:cs="Arial"/>
          <w:color w:val="333333"/>
        </w:rPr>
        <w:t xml:space="preserve"> Darlehenszinsen, </w:t>
      </w:r>
      <w:proofErr w:type="spellStart"/>
      <w:r w:rsidRPr="00992482">
        <w:rPr>
          <w:rFonts w:ascii="Arial" w:hAnsi="Arial" w:cs="Arial"/>
          <w:color w:val="333333"/>
        </w:rPr>
        <w:t>IStR</w:t>
      </w:r>
      <w:proofErr w:type="spellEnd"/>
      <w:r w:rsidRPr="00992482">
        <w:rPr>
          <w:rFonts w:ascii="Arial" w:hAnsi="Arial" w:cs="Arial"/>
          <w:color w:val="333333"/>
        </w:rPr>
        <w:t xml:space="preserve">, </w:t>
      </w:r>
      <w:r w:rsidR="00992482">
        <w:rPr>
          <w:rFonts w:ascii="Arial" w:hAnsi="Arial" w:cs="Arial"/>
          <w:color w:val="333333"/>
        </w:rPr>
        <w:t>531</w:t>
      </w:r>
      <w:r w:rsidR="001F2459">
        <w:rPr>
          <w:rFonts w:ascii="Arial" w:hAnsi="Arial" w:cs="Arial"/>
          <w:color w:val="333333"/>
        </w:rPr>
        <w:t>-536</w:t>
      </w:r>
      <w:r w:rsidR="00992482">
        <w:rPr>
          <w:rFonts w:ascii="Arial" w:hAnsi="Arial" w:cs="Arial"/>
          <w:color w:val="333333"/>
        </w:rPr>
        <w:t>.</w:t>
      </w:r>
    </w:p>
    <w:p w:rsidR="000E72B0" w:rsidRDefault="000E72B0" w:rsidP="000E72B0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6B2C31" w:rsidRDefault="006B2C31" w:rsidP="00D82C54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Busch, Oliver (2016): Der Entwurf der Verwaltungsgrundsätze Betriebsstättengewinnaufteilung, Der Betrieb, 910-915.</w:t>
      </w:r>
    </w:p>
    <w:p w:rsidR="006B2C31" w:rsidRDefault="006B2C31" w:rsidP="006B2C31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4C67E3" w:rsidRDefault="004C67E3" w:rsidP="00D82C54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Oliver/ Tenberge, Maximilian (2015): </w:t>
      </w:r>
      <w:r w:rsidRPr="004C67E3">
        <w:rPr>
          <w:rFonts w:ascii="Arial" w:hAnsi="Arial" w:cs="Arial"/>
          <w:color w:val="333333"/>
        </w:rPr>
        <w:t>Ermittlung fremdüblicher Factoring-Gebühren, Betriebs-Berater</w:t>
      </w:r>
      <w:r>
        <w:rPr>
          <w:rFonts w:ascii="Arial" w:hAnsi="Arial" w:cs="Arial"/>
          <w:color w:val="333333"/>
        </w:rPr>
        <w:t>, 2475-2479.</w:t>
      </w:r>
    </w:p>
    <w:p w:rsidR="004C67E3" w:rsidRDefault="004C67E3" w:rsidP="004C67E3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C67716" w:rsidRDefault="00C67716" w:rsidP="00D82C54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 (2015): </w:t>
      </w:r>
      <w:proofErr w:type="spellStart"/>
      <w:r w:rsidRPr="00C67716">
        <w:rPr>
          <w:rFonts w:ascii="Arial" w:hAnsi="Arial" w:cs="Arial"/>
          <w:color w:val="333333"/>
        </w:rPr>
        <w:t>Gr</w:t>
      </w:r>
      <w:r w:rsidRPr="00C67716">
        <w:rPr>
          <w:rFonts w:ascii="Arial" w:hAnsi="Arial" w:cs="Arial"/>
          <w:color w:val="333333"/>
        </w:rPr>
        <w:softHyphen/>
        <w:t>ex</w:t>
      </w:r>
      <w:r w:rsidRPr="00C67716">
        <w:rPr>
          <w:rFonts w:ascii="Arial" w:hAnsi="Arial" w:cs="Arial"/>
          <w:color w:val="333333"/>
        </w:rPr>
        <w:softHyphen/>
        <w:t>it</w:t>
      </w:r>
      <w:proofErr w:type="spellEnd"/>
      <w:r w:rsidRPr="00C67716">
        <w:rPr>
          <w:rFonts w:ascii="Arial" w:hAnsi="Arial" w:cs="Arial"/>
          <w:color w:val="333333"/>
        </w:rPr>
        <w:t xml:space="preserve"> und </w:t>
      </w:r>
      <w:proofErr w:type="spellStart"/>
      <w:r w:rsidRPr="00C67716">
        <w:rPr>
          <w:rFonts w:ascii="Arial" w:hAnsi="Arial" w:cs="Arial"/>
          <w:color w:val="333333"/>
        </w:rPr>
        <w:t>Br</w:t>
      </w:r>
      <w:r w:rsidRPr="00C67716">
        <w:rPr>
          <w:rFonts w:ascii="Arial" w:hAnsi="Arial" w:cs="Arial"/>
          <w:color w:val="333333"/>
        </w:rPr>
        <w:softHyphen/>
        <w:t>ex</w:t>
      </w:r>
      <w:r w:rsidRPr="00C67716">
        <w:rPr>
          <w:rFonts w:ascii="Arial" w:hAnsi="Arial" w:cs="Arial"/>
          <w:color w:val="333333"/>
        </w:rPr>
        <w:softHyphen/>
        <w:t>it</w:t>
      </w:r>
      <w:proofErr w:type="spellEnd"/>
      <w:r w:rsidRPr="00C67716">
        <w:rPr>
          <w:rFonts w:ascii="Arial" w:hAnsi="Arial" w:cs="Arial"/>
          <w:color w:val="333333"/>
        </w:rPr>
        <w:t xml:space="preserve"> aus Ver</w:t>
      </w:r>
      <w:r w:rsidRPr="00C67716">
        <w:rPr>
          <w:rFonts w:ascii="Arial" w:hAnsi="Arial" w:cs="Arial"/>
          <w:color w:val="333333"/>
        </w:rPr>
        <w:softHyphen/>
        <w:t>rech</w:t>
      </w:r>
      <w:r w:rsidRPr="00C67716">
        <w:rPr>
          <w:rFonts w:ascii="Arial" w:hAnsi="Arial" w:cs="Arial"/>
          <w:color w:val="333333"/>
        </w:rPr>
        <w:softHyphen/>
        <w:t>nungs</w:t>
      </w:r>
      <w:r w:rsidRPr="00C67716">
        <w:rPr>
          <w:rFonts w:ascii="Arial" w:hAnsi="Arial" w:cs="Arial"/>
          <w:color w:val="333333"/>
        </w:rPr>
        <w:softHyphen/>
        <w:t>preis</w:t>
      </w:r>
      <w:r w:rsidRPr="00C67716">
        <w:rPr>
          <w:rFonts w:ascii="Arial" w:hAnsi="Arial" w:cs="Arial"/>
          <w:color w:val="333333"/>
        </w:rPr>
        <w:softHyphen/>
        <w:t>sicht</w:t>
      </w:r>
      <w:r>
        <w:rPr>
          <w:rFonts w:ascii="Arial" w:hAnsi="Arial" w:cs="Arial"/>
          <w:color w:val="333333"/>
        </w:rPr>
        <w:t>, Der Betrieb, 1548-1552.</w:t>
      </w:r>
    </w:p>
    <w:p w:rsidR="00C67716" w:rsidRDefault="00C67716" w:rsidP="00C67716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EC3DC0" w:rsidRPr="00D82C54" w:rsidRDefault="00EC3DC0" w:rsidP="00D82C54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Busch, Oliver (201</w:t>
      </w:r>
      <w:r w:rsidR="00D82C54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): </w:t>
      </w:r>
      <w:r w:rsidR="00D82C54">
        <w:rPr>
          <w:rFonts w:ascii="Arial" w:hAnsi="Arial" w:cs="Arial"/>
          <w:color w:val="333333"/>
        </w:rPr>
        <w:t>Bestimmung des Dotationskapitals auf völlig neue Füße gestellt, Die Versicherungswirtschaft, Heft 2, 56-58 (Teil II)</w:t>
      </w:r>
    </w:p>
    <w:p w:rsidR="00EC3DC0" w:rsidRDefault="00EC3DC0" w:rsidP="00EC3DC0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EC3DC0" w:rsidRDefault="00EC3DC0" w:rsidP="00EC3DC0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 (2014): </w:t>
      </w:r>
      <w:r w:rsidR="008B7C37">
        <w:rPr>
          <w:rFonts w:ascii="Arial" w:hAnsi="Arial" w:cs="Arial"/>
          <w:color w:val="333333"/>
        </w:rPr>
        <w:t xml:space="preserve">Steuerliche Neuregelungen für Versicherungsbetriebsstätten, Die Versicherungswirtschaft, </w:t>
      </w:r>
      <w:r w:rsidR="00D82C54">
        <w:rPr>
          <w:rFonts w:ascii="Arial" w:hAnsi="Arial" w:cs="Arial"/>
          <w:color w:val="333333"/>
        </w:rPr>
        <w:t xml:space="preserve">Heft 12, </w:t>
      </w:r>
      <w:r w:rsidR="008B7C37">
        <w:rPr>
          <w:rFonts w:ascii="Arial" w:hAnsi="Arial" w:cs="Arial"/>
          <w:color w:val="333333"/>
        </w:rPr>
        <w:t>68-71 (Teil I)</w:t>
      </w:r>
    </w:p>
    <w:p w:rsidR="00EC3DC0" w:rsidRPr="00EC3DC0" w:rsidRDefault="00EC3DC0" w:rsidP="00EC3DC0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3A1F30" w:rsidRDefault="00DC72E8" w:rsidP="00EC3DC0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Oliver/ Puls, Michael (2014): </w:t>
      </w:r>
      <w:r w:rsidR="00C67716" w:rsidRPr="00C67716">
        <w:rPr>
          <w:rFonts w:ascii="Arial" w:hAnsi="Arial" w:cs="Arial"/>
          <w:color w:val="333333"/>
        </w:rPr>
        <w:t>Betriebsstättengewinnaufteilungsverordnung (BsGaV) in Kraft getreten</w:t>
      </w:r>
      <w:r>
        <w:rPr>
          <w:rFonts w:ascii="Arial" w:hAnsi="Arial" w:cs="Arial"/>
          <w:color w:val="333333"/>
        </w:rPr>
        <w:t xml:space="preserve">, Verrechnungspreise direkt digital, Ausgabe 11, </w:t>
      </w:r>
      <w:r w:rsidR="00C67716">
        <w:rPr>
          <w:rFonts w:ascii="Arial" w:hAnsi="Arial" w:cs="Arial"/>
          <w:color w:val="333333"/>
        </w:rPr>
        <w:t>2-6.</w:t>
      </w:r>
    </w:p>
    <w:p w:rsidR="003A1F30" w:rsidRPr="003A1F30" w:rsidRDefault="003A1F30" w:rsidP="003A1F30">
      <w:pPr>
        <w:pStyle w:val="ListParagraph"/>
        <w:rPr>
          <w:rFonts w:ascii="Arial" w:hAnsi="Arial" w:cs="Arial"/>
          <w:color w:val="333333"/>
        </w:rPr>
      </w:pPr>
    </w:p>
    <w:p w:rsidR="00EC3DC0" w:rsidRDefault="00EC3DC0" w:rsidP="00EC3DC0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 (2014): </w:t>
      </w:r>
      <w:r w:rsidR="00283A97">
        <w:rPr>
          <w:rFonts w:ascii="Arial" w:hAnsi="Arial" w:cs="Arial"/>
          <w:color w:val="333333"/>
        </w:rPr>
        <w:t xml:space="preserve">Die finale Betriebsstättengewinnaufteilungsverordnung (BsGaV), Der Betrieb, </w:t>
      </w:r>
      <w:r w:rsidR="006D4B21">
        <w:rPr>
          <w:rFonts w:ascii="Arial" w:hAnsi="Arial" w:cs="Arial"/>
          <w:color w:val="333333"/>
        </w:rPr>
        <w:t>2490-</w:t>
      </w:r>
      <w:r w:rsidR="00A71E1F">
        <w:rPr>
          <w:rFonts w:ascii="Arial" w:hAnsi="Arial" w:cs="Arial"/>
          <w:color w:val="333333"/>
        </w:rPr>
        <w:t>2497.</w:t>
      </w:r>
    </w:p>
    <w:p w:rsidR="00EC3DC0" w:rsidRPr="00EC3DC0" w:rsidRDefault="00EC3DC0" w:rsidP="00EC3DC0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EC3DC0" w:rsidRDefault="00EC3DC0" w:rsidP="00EC3DC0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Busch, Oliver (2014): </w:t>
      </w:r>
      <w:r w:rsidRPr="00EC3DC0">
        <w:rPr>
          <w:rFonts w:ascii="Arial" w:hAnsi="Arial" w:cs="Arial"/>
          <w:color w:val="333333"/>
        </w:rPr>
        <w:t>Die Bestimmung des Dotationskapitals bei Versicherungsbetriebsstätten</w:t>
      </w:r>
      <w:r>
        <w:rPr>
          <w:rFonts w:ascii="Arial" w:hAnsi="Arial" w:cs="Arial"/>
          <w:color w:val="333333"/>
        </w:rPr>
        <w:t xml:space="preserve"> </w:t>
      </w:r>
      <w:r w:rsidRPr="00EC3DC0">
        <w:rPr>
          <w:rFonts w:ascii="Arial" w:hAnsi="Arial" w:cs="Arial"/>
          <w:color w:val="333333"/>
        </w:rPr>
        <w:t>gemäß BsGaV</w:t>
      </w:r>
      <w:r>
        <w:rPr>
          <w:rFonts w:ascii="Arial" w:hAnsi="Arial" w:cs="Arial"/>
          <w:color w:val="333333"/>
        </w:rPr>
        <w:t>, Internationales Steuerrecht, 757-762</w:t>
      </w:r>
      <w:r w:rsidR="00A71E1F">
        <w:rPr>
          <w:rFonts w:ascii="Arial" w:hAnsi="Arial" w:cs="Arial"/>
          <w:color w:val="333333"/>
        </w:rPr>
        <w:t>.</w:t>
      </w:r>
    </w:p>
    <w:p w:rsidR="00EC3DC0" w:rsidRPr="00EC3DC0" w:rsidRDefault="00EC3DC0" w:rsidP="00EC3DC0">
      <w:pPr>
        <w:pStyle w:val="ListParagraph"/>
        <w:spacing w:after="240"/>
        <w:ind w:left="284"/>
        <w:rPr>
          <w:rFonts w:ascii="Arial" w:hAnsi="Arial" w:cs="Arial"/>
          <w:color w:val="333333"/>
        </w:rPr>
      </w:pPr>
    </w:p>
    <w:p w:rsidR="00A53DED" w:rsidRPr="001835ED" w:rsidRDefault="00A53DED" w:rsidP="00A53DED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lang w:eastAsia="de-DE"/>
        </w:rPr>
      </w:pPr>
      <w:r w:rsidRPr="001835ED">
        <w:rPr>
          <w:rFonts w:ascii="Arial" w:hAnsi="Arial" w:cs="Arial"/>
          <w:color w:val="333333"/>
        </w:rPr>
        <w:t>Busch, Oliver/ Wilmanns, Jobst (2014): Brennpunkte beim Transfer Pricing 2013/2014, Der Betrieb, 856-861.</w:t>
      </w:r>
    </w:p>
    <w:p w:rsidR="00A53DED" w:rsidRPr="001835ED" w:rsidRDefault="00A53DED" w:rsidP="00A53DED">
      <w:pPr>
        <w:pStyle w:val="ListParagraph"/>
        <w:spacing w:after="240"/>
        <w:ind w:left="284" w:hanging="284"/>
        <w:rPr>
          <w:rFonts w:ascii="Arial" w:hAnsi="Arial" w:cs="Arial"/>
          <w:color w:val="333333"/>
          <w:lang w:eastAsia="de-DE"/>
        </w:rPr>
      </w:pPr>
    </w:p>
    <w:p w:rsidR="00A53DED" w:rsidRPr="001835ED" w:rsidRDefault="00A53DED" w:rsidP="00A53DED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</w:rPr>
      </w:pPr>
      <w:r w:rsidRPr="001835ED">
        <w:rPr>
          <w:rFonts w:ascii="Arial" w:hAnsi="Arial" w:cs="Arial"/>
          <w:color w:val="333333"/>
        </w:rPr>
        <w:t>Busch, Oliver (2013): Der Unverwertbarkeit einen Riegel vorgeschoben: Implikationen des BFH-Urteils zur Unionsrechtskonformität der Dokumentationspflicht für Verrechnungspreise, Finanz-Rundschau, 943-945.</w:t>
      </w:r>
    </w:p>
    <w:p w:rsidR="00A53DED" w:rsidRPr="001835ED" w:rsidRDefault="00A53DED" w:rsidP="00A53DED">
      <w:pPr>
        <w:pStyle w:val="ListParagraph"/>
        <w:spacing w:after="240"/>
        <w:ind w:left="284" w:hanging="284"/>
        <w:rPr>
          <w:rFonts w:ascii="Arial" w:hAnsi="Arial" w:cs="Arial"/>
          <w:color w:val="333333"/>
        </w:rPr>
      </w:pPr>
    </w:p>
    <w:p w:rsidR="00A53DED" w:rsidRPr="001835ED" w:rsidRDefault="00A53DED" w:rsidP="00A53DED">
      <w:pPr>
        <w:pStyle w:val="ListParagraph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lang w:val="en-US" w:eastAsia="de-DE"/>
        </w:rPr>
      </w:pPr>
      <w:r w:rsidRPr="001835ED">
        <w:rPr>
          <w:rFonts w:ascii="Arial" w:hAnsi="Arial" w:cs="Arial"/>
          <w:color w:val="333333"/>
          <w:lang w:val="en-US" w:eastAsia="de-DE"/>
        </w:rPr>
        <w:t xml:space="preserve">Wehnert, Oliver/ Busch, Oliver (2013): Germany Issues Draft Regulation for the Profit Attribution to Permanent Establishments for Public Discussion, Practical European Tax Strategies, vol. 15(8), 12-15.  </w:t>
      </w:r>
    </w:p>
    <w:p w:rsidR="00A53DED" w:rsidRPr="001835ED" w:rsidRDefault="00A53DED" w:rsidP="00A53DED">
      <w:pPr>
        <w:pStyle w:val="NormalWeb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sz w:val="22"/>
          <w:szCs w:val="22"/>
        </w:rPr>
      </w:pPr>
      <w:r w:rsidRPr="001835ED">
        <w:rPr>
          <w:rFonts w:ascii="Arial" w:hAnsi="Arial" w:cs="Arial"/>
          <w:color w:val="333333"/>
          <w:sz w:val="22"/>
          <w:szCs w:val="22"/>
        </w:rPr>
        <w:t>Andresen, Ulf/ Busch, Oliver (2012): Betriebsstätten-</w:t>
      </w:r>
      <w:proofErr w:type="spellStart"/>
      <w:r w:rsidRPr="001835ED">
        <w:rPr>
          <w:rFonts w:ascii="Arial" w:hAnsi="Arial" w:cs="Arial"/>
          <w:color w:val="333333"/>
          <w:sz w:val="22"/>
          <w:szCs w:val="22"/>
        </w:rPr>
        <w:t>Einkunftsabgrenzung</w:t>
      </w:r>
      <w:proofErr w:type="spellEnd"/>
      <w:r w:rsidRPr="001835ED">
        <w:rPr>
          <w:rFonts w:ascii="Arial" w:hAnsi="Arial" w:cs="Arial"/>
          <w:color w:val="333333"/>
          <w:sz w:val="22"/>
          <w:szCs w:val="22"/>
        </w:rPr>
        <w:t xml:space="preserve">: steuerliche Untiefen bei der Transformierung des </w:t>
      </w:r>
      <w:proofErr w:type="spellStart"/>
      <w:r w:rsidRPr="001835ED">
        <w:rPr>
          <w:rFonts w:ascii="Arial" w:hAnsi="Arial" w:cs="Arial"/>
          <w:color w:val="333333"/>
          <w:sz w:val="22"/>
          <w:szCs w:val="22"/>
        </w:rPr>
        <w:t>Authorised</w:t>
      </w:r>
      <w:proofErr w:type="spellEnd"/>
      <w:r w:rsidRPr="001835ED">
        <w:rPr>
          <w:rFonts w:ascii="Arial" w:hAnsi="Arial" w:cs="Arial"/>
          <w:color w:val="333333"/>
          <w:sz w:val="22"/>
          <w:szCs w:val="22"/>
        </w:rPr>
        <w:t xml:space="preserve"> OECD </w:t>
      </w:r>
      <w:proofErr w:type="spellStart"/>
      <w:r w:rsidRPr="001835ED">
        <w:rPr>
          <w:rFonts w:ascii="Arial" w:hAnsi="Arial" w:cs="Arial"/>
          <w:color w:val="333333"/>
          <w:sz w:val="22"/>
          <w:szCs w:val="22"/>
        </w:rPr>
        <w:t>Approaches</w:t>
      </w:r>
      <w:proofErr w:type="spellEnd"/>
      <w:r w:rsidRPr="001835ED">
        <w:rPr>
          <w:rFonts w:ascii="Arial" w:hAnsi="Arial" w:cs="Arial"/>
          <w:color w:val="333333"/>
          <w:sz w:val="22"/>
          <w:szCs w:val="22"/>
        </w:rPr>
        <w:t xml:space="preserve"> in nationales Recht, Die Unternehmensbesteuerung, 451-458.</w:t>
      </w:r>
    </w:p>
    <w:p w:rsidR="00A53DED" w:rsidRPr="001835ED" w:rsidRDefault="00A53DED" w:rsidP="00A53DED">
      <w:pPr>
        <w:pStyle w:val="NormalWeb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sz w:val="22"/>
          <w:szCs w:val="22"/>
        </w:rPr>
      </w:pPr>
      <w:r w:rsidRPr="001835ED">
        <w:rPr>
          <w:rFonts w:ascii="Arial" w:hAnsi="Arial" w:cs="Arial"/>
          <w:color w:val="333333"/>
          <w:sz w:val="22"/>
          <w:szCs w:val="22"/>
        </w:rPr>
        <w:lastRenderedPageBreak/>
        <w:t xml:space="preserve">Busch, Oliver (2012): Fiktive Transaktionen im </w:t>
      </w:r>
      <w:proofErr w:type="spellStart"/>
      <w:r w:rsidRPr="001835ED">
        <w:rPr>
          <w:rFonts w:ascii="Arial" w:hAnsi="Arial" w:cs="Arial"/>
          <w:color w:val="333333"/>
          <w:sz w:val="22"/>
          <w:szCs w:val="22"/>
        </w:rPr>
        <w:t>Authorised</w:t>
      </w:r>
      <w:proofErr w:type="spellEnd"/>
      <w:r w:rsidRPr="001835ED">
        <w:rPr>
          <w:rFonts w:ascii="Arial" w:hAnsi="Arial" w:cs="Arial"/>
          <w:color w:val="333333"/>
          <w:sz w:val="22"/>
          <w:szCs w:val="22"/>
        </w:rPr>
        <w:t xml:space="preserve"> OECD Approach, Betriebs-Berater, 2281-2285.</w:t>
      </w:r>
    </w:p>
    <w:p w:rsidR="00A53DED" w:rsidRPr="001835ED" w:rsidRDefault="00A53DED" w:rsidP="00A53DED">
      <w:pPr>
        <w:pStyle w:val="NormalWeb"/>
        <w:numPr>
          <w:ilvl w:val="0"/>
          <w:numId w:val="1"/>
        </w:numPr>
        <w:spacing w:after="240"/>
        <w:ind w:left="284" w:hanging="284"/>
        <w:rPr>
          <w:rFonts w:ascii="Arial" w:hAnsi="Arial" w:cs="Arial"/>
          <w:color w:val="333333"/>
          <w:sz w:val="22"/>
          <w:szCs w:val="22"/>
        </w:rPr>
      </w:pPr>
      <w:r w:rsidRPr="001835ED">
        <w:rPr>
          <w:rFonts w:ascii="Arial" w:hAnsi="Arial" w:cs="Arial"/>
          <w:color w:val="333333"/>
          <w:sz w:val="22"/>
          <w:szCs w:val="22"/>
        </w:rPr>
        <w:t>Andresen, Ulf/ Busch, Oliver (2012): Anzeigepflicht bezüglich grenzüberschreitender Investitionen (§138 Abs. 2 AO), GmbH-Rundschau, 81-86.</w:t>
      </w:r>
    </w:p>
    <w:p w:rsidR="0093577C" w:rsidRPr="00A53DED" w:rsidRDefault="0093577C">
      <w:pPr>
        <w:rPr>
          <w:sz w:val="20"/>
          <w:szCs w:val="20"/>
        </w:rPr>
      </w:pPr>
    </w:p>
    <w:sectPr w:rsidR="0093577C" w:rsidRPr="00A53DED" w:rsidSect="001835ED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4A20"/>
    <w:multiLevelType w:val="hybridMultilevel"/>
    <w:tmpl w:val="C53E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ED"/>
    <w:rsid w:val="000E72B0"/>
    <w:rsid w:val="001034DA"/>
    <w:rsid w:val="001835ED"/>
    <w:rsid w:val="00194073"/>
    <w:rsid w:val="001F2459"/>
    <w:rsid w:val="00283A97"/>
    <w:rsid w:val="003A1EAD"/>
    <w:rsid w:val="003A1F30"/>
    <w:rsid w:val="00421B63"/>
    <w:rsid w:val="004C67E3"/>
    <w:rsid w:val="004E7104"/>
    <w:rsid w:val="006B2C31"/>
    <w:rsid w:val="006D4B21"/>
    <w:rsid w:val="00781339"/>
    <w:rsid w:val="008A4A49"/>
    <w:rsid w:val="008B7C37"/>
    <w:rsid w:val="0093577C"/>
    <w:rsid w:val="00992482"/>
    <w:rsid w:val="00A53DED"/>
    <w:rsid w:val="00A71E1F"/>
    <w:rsid w:val="00BB1826"/>
    <w:rsid w:val="00C13CCD"/>
    <w:rsid w:val="00C67716"/>
    <w:rsid w:val="00D82C54"/>
    <w:rsid w:val="00DC72E8"/>
    <w:rsid w:val="00EC3DC0"/>
    <w:rsid w:val="00F4766C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34CA-A55C-4C24-AB66-510B971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DED"/>
    <w:pPr>
      <w:spacing w:after="105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A5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Busch</dc:creator>
  <cp:lastModifiedBy>Busch, Oliver (DE - Frankfurt)</cp:lastModifiedBy>
  <cp:revision>4</cp:revision>
  <cp:lastPrinted>2016-12-08T19:24:00Z</cp:lastPrinted>
  <dcterms:created xsi:type="dcterms:W3CDTF">2017-08-23T06:23:00Z</dcterms:created>
  <dcterms:modified xsi:type="dcterms:W3CDTF">2017-09-11T05:59:00Z</dcterms:modified>
</cp:coreProperties>
</file>